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8364"/>
      </w:tblGrid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8:30 - 9.10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proofErr w:type="spellStart"/>
            <w:r w:rsidRPr="00437061">
              <w:rPr>
                <w:rFonts w:ascii="ROSans" w:eastAsia="Times New Roman" w:hAnsi="ROSans" w:cs="Times New Roman"/>
                <w:b/>
                <w:bCs/>
                <w:sz w:val="21"/>
                <w:szCs w:val="21"/>
                <w:lang w:val="en-US"/>
              </w:rPr>
              <w:t>Ontvangst</w:t>
            </w:r>
            <w:proofErr w:type="spellEnd"/>
            <w:r w:rsidRPr="00437061">
              <w:rPr>
                <w:rFonts w:ascii="ROSans" w:eastAsia="Times New Roman" w:hAnsi="ROSans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37061">
              <w:rPr>
                <w:rFonts w:ascii="ROSans" w:eastAsia="Times New Roman" w:hAnsi="ROSans" w:cs="Times New Roman"/>
                <w:b/>
                <w:bCs/>
                <w:sz w:val="21"/>
                <w:szCs w:val="21"/>
                <w:lang w:val="en-US"/>
              </w:rPr>
              <w:t>deelnemers</w:t>
            </w:r>
            <w:proofErr w:type="spellEnd"/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9:10 - 9:15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Welkom | Dagvoorzitter Saskia van Egmond (GGD Kennemerland)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9:15 - 9:30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To gather or not together? That is the question! | dr. A.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Timen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(RIVM)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Plenaire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sessie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I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9:30 - 9:50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</w:rPr>
            </w:pPr>
            <w:proofErr w:type="spellStart"/>
            <w:r>
              <w:rPr>
                <w:rFonts w:ascii="ROSans" w:eastAsia="Times New Roman" w:hAnsi="ROSans" w:cs="Times New Roman"/>
                <w:sz w:val="21"/>
                <w:szCs w:val="21"/>
              </w:rPr>
              <w:t>Festiva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lisering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van Nederland: is de grens bereikt? | Lex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Kruijver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(onderzoeksbureau RESPONS)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9:50-10:20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Het nut en de spin-off van syndroomsurveillance tijdens grote evenementen</w:t>
            </w:r>
            <w:r>
              <w:rPr>
                <w:rFonts w:ascii="ROSans" w:eastAsia="Times New Roman" w:hAnsi="ROSans" w:cs="Times New Roman"/>
                <w:sz w:val="21"/>
                <w:szCs w:val="21"/>
              </w:rPr>
              <w:t xml:space="preserve">: 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de lessen van de Olympische Spelen in Londen, </w:t>
            </w:r>
            <w:proofErr w:type="gram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2012  </w:t>
            </w:r>
            <w:proofErr w:type="gram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| Alex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Eliott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(Public Health England)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spacing w:after="225"/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10.30- 11.20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Postersessie | Hans van den Kerkhof (RIVM)</w:t>
            </w:r>
          </w:p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inclusief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koffie</w:t>
            </w:r>
            <w:proofErr w:type="spellEnd"/>
            <w: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/t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hee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11:30 –12.15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Masterclasses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1. Zombievirus in de polder: gebruik van games om contactpatronen in kaart te brengen. 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| Don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Klinkenberg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(RIVM), Chris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Elschot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(GGD Flevoland)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2. Wel ziek, geen oorzaak: een geval van massahysterie? | Dr. Hans van de Sande (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RuG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3. Tatoeage op een feest, een goed idee? 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| Thijs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Veenstra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(RIVM)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4. Mass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Gathering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Medicine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, een hot topic voor infectieziektepreventie | Annelies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Scholliers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(UZ Brussel)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5. Samenwerkende organisaties bij grote evenementen: hoe kom je tot een integraal advies? 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| Marc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Snabilie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(GHOR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Kennemerland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en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Tanja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Hartog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(GGD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Kennemerland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12:30 - 13:30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b/>
                <w:bCs/>
                <w:sz w:val="21"/>
                <w:szCs w:val="21"/>
                <w:lang w:val="en-US"/>
              </w:rPr>
              <w:t>Lunch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13:30 -14:30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proofErr w:type="gram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Plenaire</w:t>
            </w:r>
            <w:proofErr w:type="gram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sessie II | ‘Massa evenementen en infectieziekterisico’s’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1. De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Nijmeegse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Vierdaagse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: '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Hee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Hoo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Captain Jack, meet me down at the toilet…..' 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| Jolande Hoefnagel (GGD Nijmegen) en luitenant-kolonel, arts, Anton Soons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2. Hepatitis A onder MSM: van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Europride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naar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Worldpride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naar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Gaypride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| Harry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Vennema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(RIVM) en Brigitte van Cleef (GGD Amsterdam)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14:45 - 15:30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 Workshop ronde II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1. No risk, no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fun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! Hoe borgen we de veiligheid bij modder- en obstakelruns? | Danielle Oorsprong (GGD Hart voor Brabant) en Laurens Severijn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Hondema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(medische milieukunde RIVM)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2. Heel Holland proeft! NVWA-controle voedselveiligheid op evenementen|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Ife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Slegers-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Fitz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-James (NVWA) en Herbert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Wisselink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(NVWA)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3. Van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lammetjesaaidagen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tot vlooiencircus Evenementen met dieren: Hoe breng ik de risico's in beeld en wat moeten we ermee?' Ans van Lier (GGD regio Utrecht), Ingrid Keur (NVWA), Harry Roozendaal (NVWA), Martijn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Stijntjes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(GGD Brabant Zuidoost) en Tineke Kramer (Hogeschool 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lastRenderedPageBreak/>
              <w:t>Delft)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4. Sociale media monitorin</w:t>
            </w:r>
            <w:r>
              <w:rPr>
                <w:rFonts w:ascii="ROSans" w:eastAsia="Times New Roman" w:hAnsi="ROSans" w:cs="Times New Roman"/>
                <w:sz w:val="21"/>
                <w:szCs w:val="21"/>
              </w:rPr>
              <w:t>g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bij evenementen: veel gezegd, veelzeggend en zeggingskracht | John Rozema (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HowAboutYou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5. De bubbelbadbioscoop- inventarisatie van legionellarisico's op evenementen | </w:t>
            </w: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Alvin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Bartels (RIVM) en Hella Kok (GGD Amsterdam)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15:30 - 15:45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K</w:t>
            </w:r>
            <w:bookmarkStart w:id="0" w:name="_GoBack"/>
            <w:bookmarkEnd w:id="0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offie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/thee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15:45- 16.30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proofErr w:type="gramStart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Plenaire</w:t>
            </w:r>
            <w:proofErr w:type="gramEnd"/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 xml:space="preserve"> sessie III de Vloer op!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Terugkoppe</w:t>
            </w: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ling</w:t>
            </w:r>
            <w:proofErr w:type="spellEnd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 xml:space="preserve"> workshops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Poster pitches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</w:rPr>
              <w:t>Uitreiking Jim van Steenbergen posterprijs</w:t>
            </w:r>
          </w:p>
        </w:tc>
      </w:tr>
      <w:tr w:rsidR="00437061" w:rsidRPr="00437061" w:rsidTr="00437061"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16:30 -17:30</w:t>
            </w:r>
          </w:p>
        </w:tc>
        <w:tc>
          <w:tcPr>
            <w:tcW w:w="0" w:type="auto"/>
            <w:shd w:val="clear" w:color="auto" w:fill="FBEA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061" w:rsidRPr="00437061" w:rsidRDefault="00437061" w:rsidP="00437061">
            <w:pPr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</w:pPr>
            <w:proofErr w:type="spellStart"/>
            <w:r w:rsidRPr="00437061">
              <w:rPr>
                <w:rFonts w:ascii="ROSans" w:eastAsia="Times New Roman" w:hAnsi="ROSans" w:cs="Times New Roman"/>
                <w:sz w:val="21"/>
                <w:szCs w:val="21"/>
                <w:lang w:val="en-US"/>
              </w:rPr>
              <w:t>Borrel</w:t>
            </w:r>
            <w:proofErr w:type="spellEnd"/>
          </w:p>
        </w:tc>
      </w:tr>
    </w:tbl>
    <w:p w:rsidR="00867DEA" w:rsidRDefault="00867DEA"/>
    <w:sectPr w:rsidR="0086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61"/>
    <w:rsid w:val="00437061"/>
    <w:rsid w:val="008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1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24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2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DBDB26C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Schinkel - Gordijn</dc:creator>
  <cp:lastModifiedBy>Ilse Schinkel - Gordijn</cp:lastModifiedBy>
  <cp:revision>1</cp:revision>
  <dcterms:created xsi:type="dcterms:W3CDTF">2018-01-25T10:12:00Z</dcterms:created>
  <dcterms:modified xsi:type="dcterms:W3CDTF">2018-01-25T10:16:00Z</dcterms:modified>
</cp:coreProperties>
</file>